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vbaProject.bin" ContentType="application/vnd.ms-office.vbaProject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4"/>
        <w:spacing w:lineRule="auto" w:line="360" w:before="0" w:after="0"/>
        <w:ind w:left="9781" w:right="-312" w:hanging="0"/>
        <w:jc w:val="lef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ЗАТВЕРДЖЕНО </w:t>
      </w:r>
      <w:bookmarkStart w:id="0" w:name="_GoBack"/>
      <w:bookmarkEnd w:id="0"/>
    </w:p>
    <w:p>
      <w:pPr>
        <w:pStyle w:val="Style34"/>
        <w:spacing w:lineRule="auto" w:line="360" w:before="0" w:after="0"/>
        <w:ind w:left="9781" w:right="-312" w:hanging="0"/>
        <w:jc w:val="lef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Розпорядження  голови</w:t>
      </w:r>
    </w:p>
    <w:p>
      <w:pPr>
        <w:pStyle w:val="Style34"/>
        <w:spacing w:lineRule="auto" w:line="360" w:before="0" w:after="0"/>
        <w:ind w:left="9781" w:right="-312" w:hanging="0"/>
        <w:jc w:val="left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>Чернігівської районної державної  адміністрації</w:t>
      </w:r>
    </w:p>
    <w:p>
      <w:pPr>
        <w:pStyle w:val="Normal"/>
        <w:spacing w:lineRule="auto" w:line="360"/>
        <w:ind w:left="9781" w:right="-3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Чернігівської області</w:t>
      </w:r>
    </w:p>
    <w:p>
      <w:pPr>
        <w:pStyle w:val="Normal"/>
        <w:spacing w:lineRule="auto" w:line="360"/>
        <w:ind w:left="9781" w:right="-31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19 грудня  2024 року № 171</w:t>
      </w:r>
    </w:p>
    <w:p>
      <w:pPr>
        <w:pStyle w:val="Style34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34"/>
        <w:spacing w:before="0" w:after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РАЙОННИЙ ПЛАН ЗАХОДІВ</w:t>
      </w:r>
      <w:r>
        <w:rPr>
          <w:rFonts w:cs="Times New Roman" w:ascii="Times New Roman" w:hAnsi="Times New Roman"/>
          <w:b w:val="false"/>
          <w:sz w:val="24"/>
          <w:szCs w:val="24"/>
        </w:rPr>
        <w:br/>
        <w:t xml:space="preserve">на 2025 – 2026 роки з реалізації Національної стратегії із створення безбар’єрного </w:t>
        <w:br/>
        <w:t>простору в Україні на період до 2030 року</w:t>
      </w:r>
    </w:p>
    <w:p>
      <w:pPr>
        <w:pStyle w:val="Style26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4624" w:type="dxa"/>
        <w:jc w:val="left"/>
        <w:tblInd w:w="27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260"/>
        <w:gridCol w:w="3964"/>
        <w:gridCol w:w="7"/>
        <w:gridCol w:w="2833"/>
        <w:gridCol w:w="1684"/>
        <w:gridCol w:w="7"/>
        <w:gridCol w:w="2841"/>
        <w:gridCol w:w="28"/>
      </w:tblGrid>
      <w:tr>
        <w:trPr>
          <w:tblHeader w:val="true"/>
          <w:trHeight w:val="555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6"/>
              <w:tabs>
                <w:tab w:val="clear" w:pos="720"/>
                <w:tab w:val="left" w:pos="244" w:leader="none"/>
              </w:tabs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Найменування завдання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Індикатор виконання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961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numPr>
                <w:ilvl w:val="0"/>
                <w:numId w:val="2"/>
              </w:numPr>
              <w:tabs>
                <w:tab w:val="clear" w:pos="720"/>
                <w:tab w:val="left" w:pos="244" w:leader="none"/>
              </w:tabs>
              <w:spacing w:before="0" w:after="0"/>
              <w:ind w:left="34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Пристосування головних входів до будівель органів виконавчої влади, органів місцевого самоврядування для використання особами з інвалідністю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забезпечити проведення відповідних будівельно-ремонтних робіт</w:t>
            </w:r>
          </w:p>
          <w:p>
            <w:pPr>
              <w:pStyle w:val="Style26"/>
              <w:spacing w:before="0" w:after="0"/>
              <w:ind w:left="36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встановлено пандуси,тактильна плитка, поручні, адаптовано вхідні двері 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квартал 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р.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Відділ архітектури, містобудування та житлово-комунального господарства районної державної адміністрації; виконавчі комітети міських, селищних, сільських рад                                    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numPr>
                <w:ilvl w:val="0"/>
                <w:numId w:val="2"/>
              </w:numPr>
              <w:tabs>
                <w:tab w:val="clear" w:pos="720"/>
                <w:tab w:val="left" w:pos="244" w:leader="none"/>
              </w:tabs>
              <w:spacing w:before="0" w:after="0"/>
              <w:ind w:left="34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Забезпечення доступності осіб з інвалідністю та інших маломобільних груп населення до отримання адміністративних та соціальних послуг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облаштування доступності приміщень центрів надання адміністративних та соціальних послуг для осіб з інвалідністю та інших маломобільних груп населення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забезпечено безперешкодний   доступ до приміщень ЦНАП та ЦНСП осіб з інвалідністю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GB"/>
              </w:rPr>
              <w:t>III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квартал 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2026 р.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Відділ архітектури, містобудування та житлово-комунального господарства районної державної адміністрації;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виконавчі комітети міських, селищних, сільських рад                                      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</w:tabs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 Створення умов безперешкодного доступу осіб з інвалідністю та інших маломобільних груп населення до спортивних споруд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забезпечення дотримання вимог щодо доступності спортивних споруд для осіб з інвалідністю та інших маломобільних груп населення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надано рекомендації місцевим органам виконавчої влади та  місцевого самоврядування стосовно дотримання вимог щодо доступності спортивних споруд для осіб з інвалідністю та інших маломобільних груп населення під час реконструкції існуючих об’єктів спортивної інфраструктури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GB"/>
              </w:rPr>
              <w:t xml:space="preserve">IV 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квартал 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/>
              </w:rPr>
              <w:t>II 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2026 р.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Відділ архітектури, містобудування та житлово-комунального господарства районної державної адміністрації;                          виконавчі комітети міських, селищних, сільських рад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</w:tabs>
              <w:spacing w:before="0" w:after="0"/>
              <w:ind w:left="34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4.Забезпечення безперешкодного доступу осіб з інвалідністю та інших маломобільних груп населення до споруд цивільного захисту. 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облаштування входів та інших елементів доступності споруд цивільного захисту власниками та балансоутримувачами об’єктів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створено умови для організації безперешкодного доступу осіб з інвалідністю та інших маломобільних груп населення до споруд цивільного захисту.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val="ru-RU"/>
              </w:rPr>
              <w:t xml:space="preserve"> 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val="ru-RU"/>
              </w:rPr>
              <w:t xml:space="preserve"> 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2026 р.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Власники або органи, на балансі яких перебувають об’єкти фонду цивільного захисту, відділ цивільного захисту районної державної адміністрації;    виконавчі комітети міських, селищних, сільських рад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11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</w:tabs>
              <w:spacing w:before="0" w:after="0"/>
              <w:ind w:left="34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5.Забезпечення доступності транспортних послуг для всіх громадян, зокрема для осіб з інвалідністю та інших маломобільних груп населення, шляхом створення для них доступного середовища для вільного пересування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придбання шкільних автобусів, пристосованих для перевезення дітей з особливими освітніми потребами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створено покращені умови для перевезення школярів, зокрема дітей, які пересуваються у кріслах колісних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color w:val="4F81BD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4F81BD"/>
                <w:sz w:val="24"/>
                <w:szCs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р.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Відділ забезпечення взаємодії з органами місцевого самоврядування районної державної адміністрації;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виконавчі комітети міських, селищних, сільських рад                                      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</w:tabs>
              <w:spacing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6.Забезпечення захисту і безпеки осіб з інвалідністю та інших маломобільних груп населення у надзвичайних ситуаціях, зокрема у разі виникнення загрози збройних конфліктів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1) розроблення та включення до місцевих програм цивільного захисту питання щодо забезпечення доступу маломобільних груп населення, у тому числі осіб з інвалідністю, до захисних споруд цивільного захисту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враховано питання доступності осіб з інвалідністю в програмах цивільного захисту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квартал  2025 р.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р.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Відділ з питань цивільного захисту районної державної адміністрації, виконавчі комітети міських, селищних, сільських рад                          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82" w:hRule="atLeast"/>
        </w:trPr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</w:tabs>
              <w:snapToGrid w:val="false"/>
              <w:spacing w:before="0" w:after="0"/>
              <w:ind w:left="34"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2)проведення моніторингу дотримання прав осіб з інвалідністю та інших маломобільних груп населення у разі виникнення надзвичайних ситуацій за участю громадських об’єднань, зокрема щодо забезпечення доступності захисних споруд цивільного захисту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результати моніторингу опубліковано на офіційних вебсайтах органів виконавчої влади та органів місцевого самоврядування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Відділ з питань цивільного захисту районної державної адміністрації, виконавчі комітети міських, селищних, сільських рад                          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90" w:hRule="atLeast"/>
        </w:trPr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</w:tabs>
              <w:snapToGrid w:val="false"/>
              <w:spacing w:before="0" w:after="0"/>
              <w:ind w:left="34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 інформування населення про захисні споруди в населених пунктах, обладнані для перебування в них осіб з інвалідністю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відомості про захисні споруди в населених пунктах, обладнані для перебування в них осіб з інвалідністю, розміщено на інформаційних ресурсах місцевих органів виконавчої влади та органів місцевого самоврядування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Відділ з питань цивільного захисту районної державної адміністрації; виконавчі комітети міських, селищних, сільських рад                          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787" w:hRule="atLeast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</w:tabs>
              <w:spacing w:before="0" w:after="0"/>
              <w:ind w:left="34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7.Збір і поширення достовірної інформації про доступність об’єктів фізичного оточення, а також встановлення вимог до публічних закладів щодо інформування про наявні умови доступності їх будівель і приміщень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1) проведення за участю громадських організацій моніторингу та оцінки ступеня безбар’єрності об’єктів фізичного оточення і послуг для осіб з інвалідністю та інших маломобільних груп населення      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висвітлення  на офіційному вебсайті  заходів з популяризації у суспільстві культури створення безбар’єрного простору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результати моніторингу опубліковано на офіційних вебсайтах відповідних виконавців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GB"/>
              </w:rPr>
              <w:t>I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>-ІІ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квартал 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2025 р.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квартал     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р.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Відділ архітектури, містобудування та житлово-комунального господарства районної державної адміністрації;</w:t>
            </w:r>
          </w:p>
          <w:p>
            <w:pPr>
              <w:pStyle w:val="Style26"/>
              <w:spacing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виконавчі комітети міських, селищних, сільських рад, громадські об’єднання (за згодою)  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1362" w:hRule="atLeast"/>
        </w:trPr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numPr>
                <w:ilvl w:val="0"/>
                <w:numId w:val="0"/>
              </w:numPr>
              <w:tabs>
                <w:tab w:val="clear" w:pos="720"/>
                <w:tab w:val="left" w:pos="244" w:leader="none"/>
              </w:tabs>
              <w:snapToGrid w:val="false"/>
              <w:spacing w:before="0" w:after="0"/>
              <w:ind w:left="34"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39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napToGrid w:val="false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результати опубліковано на офіційному вебсайті районної державної адміністрації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GB"/>
              </w:rPr>
              <w:t>I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2026 р.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Відділ організаційної роботи та інформаційної діяльності районної державної адміністрації 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magenta"/>
              </w:rPr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magenta"/>
              </w:rPr>
            </w:r>
          </w:p>
        </w:tc>
      </w:tr>
      <w:tr>
        <w:trPr>
          <w:trHeight w:val="106" w:hRule="atLeast"/>
        </w:trPr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numPr>
                <w:ilvl w:val="0"/>
                <w:numId w:val="0"/>
              </w:numPr>
              <w:tabs>
                <w:tab w:val="clear" w:pos="720"/>
                <w:tab w:val="left" w:pos="244" w:leader="none"/>
              </w:tabs>
              <w:snapToGrid w:val="false"/>
              <w:spacing w:before="0" w:after="0"/>
              <w:ind w:left="34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napToGrid w:val="false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napToGrid w:val="false"/>
              <w:spacing w:before="0" w:after="0"/>
              <w:ind w:hanging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napToGrid w:val="false"/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</w:tabs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8.Забезпечення функціонування системи цивільного захисту і безпеки маломобільних груп населення, включаючи осіб з інвалідністю, в умовах воєнного чи надзвичайного стану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дооблаштувати укриття у закладах освіти, зокрема засобами, що забезпечують доступ маломобільних груп населення, включаючи осіб з інвалідністю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проведено роботи з облаштування укриттів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III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квартал 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р.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Виконавчі комітети міських, селищних, сільських рад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40" w:hRule="atLeast"/>
        </w:trPr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</w:tabs>
              <w:snapToGrid w:val="false"/>
              <w:spacing w:before="0" w:after="0"/>
              <w:ind w:left="34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облаштувати можливість доступу до укриттів в закладах охорони здоров’я для персоналу та пацієнтів закладів, в тому числі для осіб з інвалідністю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проведено роботи з облаштування укриттів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к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Виконавчі комітети міських, селищних, сільських рад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37" w:hRule="atLeast"/>
        </w:trPr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</w:tabs>
              <w:snapToGrid w:val="false"/>
              <w:spacing w:before="0" w:after="0"/>
              <w:ind w:left="34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 встановити автономні джерела електроживлення для забезпечення функціонування закладів охорони здоров’я у безперебійному режимі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встановлено автономні джерела електроживлення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р.</w:t>
            </w:r>
          </w:p>
          <w:p>
            <w:pPr>
              <w:pStyle w:val="Style26"/>
              <w:spacing w:before="0" w:after="0"/>
              <w:ind w:hanging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   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Виконавчі комітети міських, селищних, сільських рад;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керівники закладів охорони здоров’я та центрів первинної медико – санітарної допомоги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 xml:space="preserve">9.Проведення інформаційної кампанії 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eastAsia="uk-UA"/>
              </w:rPr>
              <w:t>“Україна без бар'єрів”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розміщення інформаційних матеріалів у рамках інформаційно – просвітницької кампанії  “Україна без бар’єрів”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прилюднено, розміщено інформаційні матеріали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Відділ організаційної роботи та інформаційної діяльності районної державної адміністрації; виконавчі комітети міських, селищних, сільських рад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653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10.Облаштування необхідним програмним забезпеченням та засобами доступу до Інтернету осіб з інвалідністю, закладів освіти та культури, а також бібліотек та інших хабів у межах населених пунктів</w:t>
            </w:r>
          </w:p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удосконалення  діяльності бібліотек з метою забезпечення їх доступності для осіб з порушенням зору, адаптування вебсайтів або сторінок у соціальних мережах бібліотек для доступу осіб з інвалідністю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збільшено кількість бібліотек адаптованих  до доступу для осіб з інвалідністю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квартал </w:t>
              <w:br/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р.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Виконавчі комітети міських, селищних, сільських рад;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відділ забезпечення взаємодії з органами місцевого самоврядування районної державної адміністрації             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11.Сприяння розвитку безбар’єрних маршрутів, перехресть, зупинок та тротуарів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провести оцінку безбар’єрності вулиць і доріг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звіт за результатами оцінки безбар’єрності вулиць і доріг (фото, кількісні показники)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 квартал</w:t>
            </w:r>
          </w:p>
          <w:p>
            <w:pPr>
              <w:pStyle w:val="Style26"/>
              <w:spacing w:before="0" w:after="0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2025 р.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Виконавчі комітети міських, селищних, сільських рад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05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12.Підключення закладів соціальної інфраструктури та органів місцевого самоврядування до широкосмугового доступу до Інтернету зі швидкістю не менше 100 Мбіт/с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забезпечення закладів соціальної інфраструктури доступом до фіксованого широкосмугового Інтернету зі швидкістю не менше 100 Мбіт/с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підвищено до 85 відсотків технічну можливість підключення закладів соціальної інфраструктури та органів місцевого самоврядування до фіксованого широкосмугового доступу до Інтернету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   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р.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Виконавчі комітети міських,  селищних, сільських рад;          відділ забезпечення взаємодії з органами місцевого самоврядування районної державної адміністрації;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571" w:hRule="atLeast"/>
        </w:trPr>
        <w:tc>
          <w:tcPr>
            <w:tcW w:w="14596" w:type="dxa"/>
            <w:gridSpan w:val="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napToGrid w:val="false"/>
              <w:spacing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2354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shd w:fill="FFFFFF" w:val="clear"/>
              </w:rPr>
              <w:t>13.Забезпечення енергонезалежності точок вільного доступу до Інтернету для кожного та кожної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забезпечення пунктів незламності необхідним обладнанням/технікою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перелік пунктів незламності, забезпечених необхідним обладнанням/технікою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Виконавчі комітети міських, селищних, сільських рад (у порядку рекомендації);                                     відділ організаційної роботи та інформаційної діяльності районної державної адміністрації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shd w:fill="FFFFFF" w:val="clear"/>
              </w:rPr>
              <w:t>14.Забезпечення технічної можливості підключення домогосподарств у сільській місцевості до широкосмугового доступу до Інтернету</w:t>
            </w:r>
          </w:p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left="720"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підключення домогосподарств у сільській місцевості до широкосмугового доступу до Інтернету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підвищено до 80 відсотків технічну можливість підключення домогосподарств у сільській місцевості до широкосмугового доступу до Інтернету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napToGrid w:val="false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р.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Виконавчі комітети міських селищних, сільських рад              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88" w:hRule="atLeast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15.Підвищення обізнаності серед персоналу органів місцевого самоврядування про важливість доступності для людей з різними комунікаційними порушеннями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1)розмістити соціальну рекламу в медичних, освітніх закладах, центрах надання адміністративних та соціальних послуг, адміністративних приміщеннях органів місцевого самоврядування</w:t>
            </w:r>
          </w:p>
          <w:p>
            <w:pPr>
              <w:pStyle w:val="Normal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990" w:leader="none"/>
              </w:tabs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щоквартальна інформаційна довідка з переліком публікацій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uk-U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uk-UA"/>
              </w:rPr>
              <w:t>Відділ організаційної роботи та інформаційної діяльності районної державної адміністрації;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виконавчі комітети міських, селищних, сільських рад (у порядку рекомендації)             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24"/>
                <w:szCs w:val="24"/>
                <w:lang w:eastAsia="uk-U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>
          <w:trHeight w:val="575" w:hRule="atLeast"/>
        </w:trPr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numPr>
                <w:ilvl w:val="0"/>
                <w:numId w:val="0"/>
              </w:numPr>
              <w:tabs>
                <w:tab w:val="clear" w:pos="720"/>
                <w:tab w:val="left" w:pos="244" w:leader="none"/>
              </w:tabs>
              <w:snapToGrid w:val="false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cyan"/>
              </w:rPr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2)забезпечити проведення щорічного Національного тижня безбар’єрності ( травень 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оприлюднено результати проведення  Національного тижня безбар’єрності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квартал </w:t>
              <w:br/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р.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Управління соціального захисту населення районної державної адміністрації;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виконавчі комітети міських, селищних, сільських рад             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numPr>
                <w:ilvl w:val="0"/>
                <w:numId w:val="0"/>
              </w:numPr>
              <w:tabs>
                <w:tab w:val="clear" w:pos="720"/>
                <w:tab w:val="left" w:pos="244" w:leader="none"/>
              </w:tabs>
              <w:snapToGrid w:val="false"/>
              <w:spacing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cyan"/>
              </w:rPr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tabs>
                <w:tab w:val="clear" w:pos="720"/>
                <w:tab w:val="left" w:pos="990" w:leader="none"/>
              </w:tabs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3) сприяння поширенню інформації про рівень та умови  безбар’єрності об’єктів туристичної інфраструктури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опубліковано інформацію на сайтах територіальних громад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Виконавчі комітети міських, селищних, сільських рад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uk-U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24"/>
                <w:szCs w:val="24"/>
                <w:lang w:eastAsia="uk-U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>
          <w:trHeight w:val="2955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16.Надання медичної допомоги Захисникам і Захисницям України, членам сімей загиблих (померлих)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1)забезпечити направлення Захисників і Захисниць України, у яких виявлені порушення стану здоров’я на стаціонарне обстеження та лікування у медичні заклади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забезпечено направлення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Постійно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Заклади охорони здоров’я та центри первинної медико-санітарної допомоги районної ради та виконавчі комітети міських,  селищних, сільських рад (у порядку рекомендації)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highlight w:val="yellow"/>
              </w:rPr>
            </w:r>
          </w:p>
        </w:tc>
      </w:tr>
      <w:tr>
        <w:trPr>
          <w:trHeight w:val="3375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napToGrid w:val="false"/>
              <w:spacing w:before="0" w:after="0"/>
              <w:ind w:hanging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highlight w:val="yellow"/>
              </w:rPr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2)організувати медичне супроводження демобілізованих (звільнених із служби) Захисників і Захисниць України при проходженні медико – соціальних експертних комісій 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забезпечено супроводження</w:t>
            </w:r>
          </w:p>
          <w:p>
            <w:pPr>
              <w:pStyle w:val="Style26"/>
              <w:spacing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Кластерні заклади охорони здоров’я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highlight w:val="yellow"/>
              </w:rPr>
            </w:r>
          </w:p>
        </w:tc>
      </w:tr>
      <w:tr>
        <w:trPr>
          <w:trHeight w:val="3643" w:hRule="atLeast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hanging="0"/>
              <w:jc w:val="both"/>
              <w:rPr/>
            </w:pPr>
            <w:r>
              <w:rPr>
                <w:rFonts w:eastAsia="Arial" w:cs="Times New Roman" w:ascii="Times New Roman" w:hAnsi="Times New Roman"/>
                <w:sz w:val="24"/>
                <w:szCs w:val="24"/>
                <w:shd w:fill="FFFFFF" w:val="clear"/>
              </w:rPr>
              <w:t>17.Формування на рівні кожної територіальної громади якісно нової системи забезпечення та захисту прав дітей, що дасть змогу відійти від практики інституційного догляду та виховання дітей до забезпечення безпечного догляду і виховання кожної дитини в сімейному або наближеному до сімейного середовищі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  <w:t>1) надання службам у справах дітей органів місцевого самоврядування методичної та організаційної підтримки у провадженні діяльності щодо захисту прав та інтересів дітей, розвитку сімей патронатних вихователів, сімейних форм виховання тощо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  <w:t xml:space="preserve">проведення навчальних семінарів для працівників служб у справах дітей сільських, селищних, міських рад </w:t>
              <w:br/>
              <w:br/>
              <w:t>збільшено кількість патронатних сімей у територіальних громадах</w:t>
              <w:br/>
              <w:br/>
              <w:t>забезпечено розвиток сімейних форм виховання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р.</w:t>
            </w:r>
          </w:p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Постійно</w:t>
            </w:r>
          </w:p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br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Постійно</w:t>
            </w:r>
          </w:p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  <w:t>Служба у справах дітей районної державної адміністрації;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виконавчі комітети міських, селищних, сільських рад (у порядку рекомендації)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</w:tr>
      <w:tr>
        <w:trPr>
          <w:trHeight w:val="2128" w:hRule="atLeast"/>
        </w:trPr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</w:tabs>
              <w:snapToGrid w:val="false"/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  <w:highlight w:val="yellow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highlight w:val="yellow"/>
                <w:shd w:fill="FFFFFF" w:val="clear"/>
              </w:rPr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  <w:t>2) забезпечення розвитку сімейних форм виховання, проведення із залученням місцевих засобів масової інформації інформаційної кампанії з питань влаштування дітей до сімейних форм виховання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  <w:t xml:space="preserve">збільшено кількість дітей-сиріт та дітей, позбавлених батьківського піклування, до сімейних форм виховання 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IV квартал </w:t>
              <w:br/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IV 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р.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  <w:t xml:space="preserve">Служба у справах дітей районної державної адміністрації; 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виконавчі комітети міських, селищних, сільських рад (у порядку рекомендації)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</w:tr>
      <w:tr>
        <w:trPr>
          <w:trHeight w:val="1821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shd w:fill="FFFFFF" w:val="clear"/>
              </w:rPr>
              <w:t>18.Підвищення рівня інформаційного забезпечення суб’єктів підприємницької діяльності, розвиток інфраструктури підтримки малого та середнього підприємництва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  <w:t>забезпечення інформаційно – консультативної підтримки суб’єктів малого і середнього підприємництва та осіб, що бажають розпочати власний бізнес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  <w:t>кількість проведених навчально – освітніх заходів для підприємців та осіб, що бажають розпочати власну справу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Чернігівська міськрайонна філія Чернігівського обласного  центру зайнятості (у порядку рекомендації);                                                       виконавчі комітети міських, селищних, сільських рад (у порядку рекомендації),               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highlight w:val="yellow"/>
                <w:shd w:fill="FFFFFF" w:val="clear"/>
              </w:rPr>
            </w:r>
          </w:p>
        </w:tc>
      </w:tr>
      <w:tr>
        <w:trPr>
          <w:trHeight w:val="2115" w:hRule="atLeast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shd w:fill="FFFFFF" w:val="clear"/>
              </w:rPr>
              <w:t>19.Вдосконалення процесів надання освітніх послуг для забезпечення їх безбар’єрності і зручності з урахуванням різних потреб людей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shd w:fill="FFFFFF" w:val="clear"/>
              </w:rPr>
              <w:t>1)створення умов для організації безперешкодного доступу осіб з інвалідністю та інших маломобільних груп населення до будівель, приміщень, зокрема санітарного призначення, у закладах освіти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організовано безперешкодний доступ осіб з інвалідністю та інших маломобільних груп населення до будівель, приміщень, зокрема, санітарного призначення, у закладах освіти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Відділ забезпечення взаємодії з органами місцевого самоврядування районної державної адміністрації; виконавчі комітети міських, селищних, сільських рад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1305" w:hRule="atLeast"/>
        </w:trPr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numPr>
                <w:ilvl w:val="0"/>
                <w:numId w:val="0"/>
              </w:numPr>
              <w:tabs>
                <w:tab w:val="clear" w:pos="720"/>
                <w:tab w:val="left" w:pos="244" w:leader="none"/>
                <w:tab w:val="left" w:pos="459" w:leader="none"/>
              </w:tabs>
              <w:snapToGrid w:val="false"/>
              <w:spacing w:before="0" w:after="0"/>
              <w:ind w:left="0"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  <w:highlight w:val="yellow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highlight w:val="yellow"/>
                <w:shd w:fill="FFFFFF" w:val="clear"/>
              </w:rPr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2)провести моніторинг доступності закладів освіти усіх рівнів для маломобільних груп населення</w:t>
            </w:r>
          </w:p>
          <w:p>
            <w:pPr>
              <w:pStyle w:val="Style26"/>
              <w:spacing w:before="0" w:after="0"/>
              <w:jc w:val="both"/>
              <w:rPr>
                <w:rFonts w:ascii="Times New Roman" w:hAnsi="Times New Roman" w:eastAsia="Arial" w:cs="Times New Roman"/>
                <w:sz w:val="24"/>
                <w:szCs w:val="24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проведено моніторинг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Відділ архітектури містобудування та житлово – комунального господарства районної державної адміністрації;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виконавчі комітети  міських, селищних сільських рад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1305" w:hRule="atLeast"/>
        </w:trPr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numPr>
                <w:ilvl w:val="0"/>
                <w:numId w:val="0"/>
              </w:numPr>
              <w:tabs>
                <w:tab w:val="clear" w:pos="720"/>
                <w:tab w:val="left" w:pos="244" w:leader="none"/>
                <w:tab w:val="left" w:pos="459" w:leader="none"/>
              </w:tabs>
              <w:snapToGrid w:val="false"/>
              <w:spacing w:before="0" w:after="0"/>
              <w:ind w:left="0"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  <w:highlight w:val="yellow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highlight w:val="yellow"/>
                <w:shd w:fill="FFFFFF" w:val="clear"/>
              </w:rPr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shd w:fill="FFFFFF" w:val="clear"/>
              </w:rPr>
              <w:t>3)нарощування захисних споруд цивільного захисту закладів освіти з урахуванням потреб осіб з інвалідністю</w:t>
            </w:r>
          </w:p>
          <w:p>
            <w:pPr>
              <w:pStyle w:val="Style26"/>
              <w:spacing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збільшено кількість захисних споруд цивільного захисту закладів освіти з урахуванням потреб осіб з інвалідністю.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Відділ з питань цивільного захисту районної державної адміністрації;    виконавчі комітети міських, селищних, сільських рад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2685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napToGrid w:val="false"/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  <w:highlight w:val="yellow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highlight w:val="yellow"/>
                <w:shd w:fill="FFFFFF" w:val="clear"/>
              </w:rPr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  <w:shd w:fill="FFFFFF" w:val="clear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shd w:fill="FFFFFF" w:val="clear"/>
              </w:rPr>
              <w:t xml:space="preserve">4)впровадження інклюзивного навчання в закладах освіти на різних рівнях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збільшено кількість класів і груп інклюзивного навчання  в закладах освіти 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Відділ забезпечення взаємодії з органами місцевого самоврядування районної державної адміністрації;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 управління закладами освіти органів місцевого самоврядування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hanging="0"/>
              <w:jc w:val="both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20.Забезпечення закладів дошкільної освіти методичними, діагностичними та матеріально-технічним засобами для створення та функціонування інклюзивного середовища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забезпечення інклюзивно-ресурсних центрів діагностичними засобами для роботи з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дітьми дошкільного віку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діючі інклюзивно-ресурсні центри забезпечено діагностичними засобами для роботи з дітьми дошкільного віку 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IV квартал </w:t>
              <w:br/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Виконавчі комітети міських, селищних, сільських рад              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98" w:hRule="atLeast"/>
        </w:trPr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numPr>
                <w:ilvl w:val="0"/>
                <w:numId w:val="0"/>
              </w:numPr>
              <w:tabs>
                <w:tab w:val="clear" w:pos="720"/>
                <w:tab w:val="left" w:pos="244" w:leader="none"/>
              </w:tabs>
              <w:snapToGrid w:val="false"/>
              <w:spacing w:before="0" w:after="0"/>
              <w:ind w:left="0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2)здійснення підвищення кваліфікації працівників інклюзивно-ресурсних центрів щодо роботи з діагностичними засобами для дітей дошкільного віку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фахівцями 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інклюзивно-ресурсних центрів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підвищено кваліфікацію з питань роботи з діагностичними засобами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IV квартал </w:t>
              <w:br/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Виконавчі комітети міських, селищних, сільських рад                                       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</w:tabs>
              <w:snapToGrid w:val="false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3) забезпечення закладів дошкільної освіти матеріально-технічним засобами для створення та функціонування інклюзивного середовища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/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оновлено матеріально-технічні засоби для створення та функціонування інклюзивного середовища</w:t>
            </w:r>
            <w:r>
              <w:rPr>
                <w:rFonts w:eastAsia="Arial" w:cs="Times New Roman" w:ascii="Times New Roman" w:hAnsi="Times New Roman"/>
                <w:color w:val="4F81BD"/>
                <w:sz w:val="24"/>
                <w:szCs w:val="24"/>
              </w:rPr>
              <w:t xml:space="preserve">, </w:t>
              <w:br/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не менше</w:t>
            </w:r>
            <w:r>
              <w:rPr>
                <w:rFonts w:eastAsia="Arial" w:cs="Times New Roman" w:ascii="Times New Roman" w:hAnsi="Times New Roman"/>
                <w:color w:val="4F81BD"/>
                <w:sz w:val="24"/>
                <w:szCs w:val="24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25 відсотків закладів дошкільної освіти 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квартал </w:t>
              <w:br/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р.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Виконавчі комітети міської, селищних, сільських рад                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70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21.Створення умов для здобуття освіти особами з особливими освітніми потребами відповідно до їхніх можливостей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забезпечити формування мережі інклюзивних класів, груп, гуртків в закладах дошкільної, загальної середньої та позашкільної освіти відповідно до потреб територіальної громади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забезпечено умови для здобуття освіти дітьми з особливими освітніми потребами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р.</w:t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р.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Відділ забезпечення взаємодії з органами місцевого самоврядування районної державної адміністрації;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виконавчі комітети міських, селищних, сільських рад ( у порядку рекомендації)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65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59" w:leader="none"/>
              </w:tabs>
              <w:spacing w:before="0" w:after="0"/>
              <w:ind w:hanging="0"/>
              <w:jc w:val="both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22.Забезпечення розвитку освіти дорослих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забезпечення доступності освіти впродовж життя (освіти дорослих) ветеранів війни шляхом підготовки, перепідготовки, підвищення кваліфікації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/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забезпечено освітні потреби ветеранів війни   впродовж життя (освіта дорослих) шляхом організації соціальної та професійної адаптації 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Управління соціального захисту населення районної державної адміністрації</w:t>
            </w:r>
          </w:p>
        </w:tc>
        <w:tc>
          <w:tcPr>
            <w:tcW w:w="2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468" w:leader="none"/>
              </w:tabs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  <w:t>23.Забезпечення закладів освіти допоміжними засобами для навчання та спеціальними підручниками, посібниками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забезпечення умов для здобуття освіти дітьми з особливими освітніми потребами за місцем їх проживання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забезпечено спеціальними підручниками, посібниками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uk-UA"/>
              </w:rPr>
              <w:t>II</w:t>
            </w: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 xml:space="preserve"> квартал 2025 р.</w:t>
            </w:r>
          </w:p>
          <w:p>
            <w:pPr>
              <w:pStyle w:val="Style26"/>
              <w:spacing w:before="0" w:after="0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uk-UA"/>
              </w:rPr>
              <w:t>III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eastAsia="uk-UA"/>
              </w:rPr>
              <w:t xml:space="preserve"> квартал</w:t>
            </w:r>
          </w:p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2026 р.</w:t>
            </w:r>
          </w:p>
        </w:tc>
        <w:tc>
          <w:tcPr>
            <w:tcW w:w="2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Виконавчі комітети міських, селищних, сільських рад (у порядку рекомендації);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відділ забезпечення взаємодії з органами місцевого самоврядування районної державної адміністрації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tabs>
                <w:tab w:val="clear" w:pos="720"/>
                <w:tab w:val="left" w:pos="244" w:leader="none"/>
                <w:tab w:val="left" w:pos="604" w:leader="none"/>
              </w:tabs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</w:rPr>
              <w:t>24.Формування толерантного ставлення та подолання стигматизації осіб з інвалідністю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проведення профілактичних заходів із здобувачами освіти з питань запобігання проявам насильства та булінгу у відношенні дітей з особливими освітніми потребами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сформовано позитивне  освітнє середовище для здобуття освіти дітьми з особливими освітніми потребами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26"/>
              <w:spacing w:before="0" w:after="0"/>
              <w:ind w:hanging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Виконавчі комітети міських, селищних, сільських рад 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Начальник управління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соціального захисту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районної державної адміністрації                                                                                                                 Олена  ЛУТЧЕНКО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sectPr>
      <w:headerReference w:type="default" r:id="rId2"/>
      <w:headerReference w:type="first" r:id="rId3"/>
      <w:type w:val="nextPage"/>
      <w:pgSz w:orient="landscape" w:w="16838" w:h="11906"/>
      <w:pgMar w:left="1134" w:right="1134" w:gutter="0" w:header="567" w:top="993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ntiqua">
    <w:altName w:val="Arial"/>
    <w:charset w:val="00"/>
    <w:family w:val="swiss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10820" cy="19240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" cy="1924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6.6pt;height:15.15pt;mso-wrap-distance-left:0pt;mso-wrap-distance-right:0pt;mso-wrap-distance-top:0pt;mso-wrap-distance-bottom:0pt;margin-top:0.05pt;mso-position-vertical-relative:text;margin-left:355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sz w:val="26"/>
        <w:szCs w:val="26"/>
      </w:rPr>
    </w:lvl>
  </w:abstractNum>
  <w:abstractNum w:abstractNumId="3">
    <w:lvl w:ilvl="0">
      <w:start w:val="6"/>
      <w:numFmt w:val="decimal"/>
      <w:lvlText w:val="%1."/>
      <w:lvlJc w:val="left"/>
      <w:pPr>
        <w:tabs>
          <w:tab w:val="num" w:pos="0"/>
        </w:tabs>
        <w:ind w:left="394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ntiqua;Arial" w:hAnsi="Antiqua;Arial" w:eastAsia="Times New Roman" w:cs="Antiqua;Arial"/>
      <w:color w:val="auto"/>
      <w:sz w:val="26"/>
      <w:szCs w:val="20"/>
      <w:lang w:val="uk-UA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0"/>
      <w:ind w:left="567" w:hanging="0"/>
      <w:outlineLvl w:val="0"/>
    </w:pPr>
    <w:rPr>
      <w:b/>
      <w:smallCaps/>
      <w:sz w:val="28"/>
      <w:lang w:val="uk-UA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0"/>
      <w:ind w:left="567" w:hanging="0"/>
      <w:outlineLvl w:val="1"/>
    </w:pPr>
    <w:rPr>
      <w:b/>
      <w:lang w:val="uk-UA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ind w:left="567" w:hanging="0"/>
      <w:outlineLvl w:val="2"/>
    </w:pPr>
    <w:rPr>
      <w:b/>
      <w:i/>
      <w:lang w:val="uk-UA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before="120" w:after="0"/>
      <w:ind w:left="567" w:hanging="0"/>
      <w:outlineLvl w:val="3"/>
    </w:pPr>
    <w:rPr>
      <w:lang w:val="uk-UA"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360" w:before="240" w:after="80"/>
      <w:jc w:val="both"/>
      <w:outlineLvl w:val="4"/>
    </w:pPr>
    <w:rPr>
      <w:rFonts w:ascii="Calibri" w:hAnsi="Calibri" w:eastAsia="Calibri" w:cs="Calibri"/>
      <w:color w:val="666666"/>
      <w:sz w:val="22"/>
      <w:szCs w:val="22"/>
      <w:lang w:val="ru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uto" w:line="360" w:before="240" w:after="80"/>
      <w:jc w:val="both"/>
      <w:outlineLvl w:val="5"/>
    </w:pPr>
    <w:rPr>
      <w:rFonts w:ascii="Calibri" w:hAnsi="Calibri" w:eastAsia="Calibri" w:cs="Calibri"/>
      <w:i/>
      <w:color w:val="666666"/>
      <w:sz w:val="22"/>
      <w:szCs w:val="22"/>
      <w:lang w:val="ru"/>
    </w:rPr>
  </w:style>
  <w:style w:type="character" w:styleId="WW8Num1z0">
    <w:name w:val="WW8Num1z0"/>
    <w:qFormat/>
    <w:rPr>
      <w:sz w:val="26"/>
      <w:szCs w:val="26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Style8">
    <w:name w:val="Основной шрифт абзаца"/>
    <w:qFormat/>
    <w:rPr/>
  </w:style>
  <w:style w:type="character" w:styleId="51">
    <w:name w:val="Заголовок 5 Знак"/>
    <w:qFormat/>
    <w:rPr>
      <w:rFonts w:ascii="Calibri" w:hAnsi="Calibri" w:eastAsia="Calibri" w:cs="Calibri"/>
      <w:color w:val="666666"/>
      <w:sz w:val="22"/>
      <w:szCs w:val="22"/>
      <w:lang w:val="ru"/>
    </w:rPr>
  </w:style>
  <w:style w:type="character" w:styleId="61">
    <w:name w:val="Заголовок 6 Знак"/>
    <w:qFormat/>
    <w:rPr>
      <w:rFonts w:ascii="Calibri" w:hAnsi="Calibri" w:eastAsia="Calibri" w:cs="Calibri"/>
      <w:i/>
      <w:color w:val="666666"/>
      <w:sz w:val="22"/>
      <w:szCs w:val="22"/>
      <w:lang w:val="ru"/>
    </w:rPr>
  </w:style>
  <w:style w:type="character" w:styleId="11">
    <w:name w:val="Заголовок 1 Знак"/>
    <w:qFormat/>
    <w:rPr>
      <w:rFonts w:ascii="Antiqua;Arial" w:hAnsi="Antiqua;Arial" w:cs="Antiqua;Arial"/>
      <w:b/>
      <w:smallCaps/>
      <w:sz w:val="28"/>
    </w:rPr>
  </w:style>
  <w:style w:type="character" w:styleId="21">
    <w:name w:val="Заголовок 2 Знак"/>
    <w:qFormat/>
    <w:rPr>
      <w:rFonts w:ascii="Antiqua;Arial" w:hAnsi="Antiqua;Arial" w:cs="Antiqua;Arial"/>
      <w:b/>
      <w:sz w:val="26"/>
    </w:rPr>
  </w:style>
  <w:style w:type="character" w:styleId="31">
    <w:name w:val="Заголовок 3 Знак"/>
    <w:qFormat/>
    <w:rPr>
      <w:rFonts w:ascii="Antiqua;Arial" w:hAnsi="Antiqua;Arial" w:cs="Antiqua;Arial"/>
      <w:b/>
      <w:i/>
      <w:sz w:val="26"/>
    </w:rPr>
  </w:style>
  <w:style w:type="character" w:styleId="41">
    <w:name w:val="Заголовок 4 Знак"/>
    <w:qFormat/>
    <w:rPr>
      <w:rFonts w:ascii="Antiqua;Arial" w:hAnsi="Antiqua;Arial" w:cs="Antiqua;Arial"/>
      <w:sz w:val="26"/>
    </w:rPr>
  </w:style>
  <w:style w:type="character" w:styleId="Style9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Style10">
    <w:name w:val="Нижний колонтитул Знак"/>
    <w:qFormat/>
    <w:rPr>
      <w:rFonts w:ascii="Antiqua;Arial" w:hAnsi="Antiqua;Arial" w:cs="Antiqua;Arial"/>
      <w:sz w:val="26"/>
    </w:rPr>
  </w:style>
  <w:style w:type="character" w:styleId="Style11">
    <w:name w:val="Верхний колонтитул Знак"/>
    <w:qFormat/>
    <w:rPr>
      <w:rFonts w:ascii="Antiqua;Arial" w:hAnsi="Antiqua;Arial" w:cs="Antiqua;Arial"/>
      <w:sz w:val="26"/>
    </w:rPr>
  </w:style>
  <w:style w:type="character" w:styleId="Style12">
    <w:name w:val="Название Знак"/>
    <w:qFormat/>
    <w:rPr>
      <w:rFonts w:ascii="Calibri" w:hAnsi="Calibri" w:eastAsia="Calibri" w:cs="Calibri"/>
      <w:sz w:val="52"/>
      <w:szCs w:val="52"/>
      <w:lang w:val="ru"/>
    </w:rPr>
  </w:style>
  <w:style w:type="character" w:styleId="Style13">
    <w:name w:val="Подзаголовок Знак"/>
    <w:qFormat/>
    <w:rPr>
      <w:rFonts w:ascii="Arial" w:hAnsi="Arial" w:eastAsia="Arial" w:cs="Arial"/>
      <w:color w:val="666666"/>
      <w:sz w:val="30"/>
      <w:szCs w:val="30"/>
      <w:lang w:val="ru"/>
    </w:rPr>
  </w:style>
  <w:style w:type="character" w:styleId="12">
    <w:name w:val="Гіперпосилання1"/>
    <w:qFormat/>
    <w:rPr>
      <w:color w:val="0000FF"/>
      <w:u w:val="single"/>
    </w:rPr>
  </w:style>
  <w:style w:type="character" w:styleId="Style14">
    <w:name w:val="Интернет-ссылка"/>
    <w:rPr>
      <w:color w:val="0000FF"/>
      <w:u w:val="single"/>
    </w:rPr>
  </w:style>
  <w:style w:type="character" w:styleId="Appletabspan">
    <w:name w:val="apple-tab-span"/>
    <w:qFormat/>
    <w:rPr/>
  </w:style>
  <w:style w:type="character" w:styleId="Style15">
    <w:name w:val="Посещённая гиперссылка"/>
    <w:rPr>
      <w:color w:val="800080"/>
      <w:u w:val="single"/>
    </w:rPr>
  </w:style>
  <w:style w:type="character" w:styleId="Style16">
    <w:name w:val="Текст примечания Знак"/>
    <w:qFormat/>
    <w:rPr>
      <w:rFonts w:ascii="Arial" w:hAnsi="Arial" w:eastAsia="Arial" w:cs="Arial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Rvts9">
    <w:name w:val="rvts9"/>
    <w:qFormat/>
    <w:rPr/>
  </w:style>
  <w:style w:type="character" w:styleId="Style18">
    <w:name w:val="Тема примечания Знак"/>
    <w:qFormat/>
    <w:rPr>
      <w:rFonts w:ascii="Antiqua;Arial" w:hAnsi="Antiqua;Arial" w:eastAsia="Arial" w:cs="Arial"/>
      <w:b/>
      <w:bCs/>
    </w:rPr>
  </w:style>
  <w:style w:type="character" w:styleId="Rvts0">
    <w:name w:val="rvts0"/>
    <w:qFormat/>
    <w:rPr/>
  </w:style>
  <w:style w:type="character" w:styleId="Xfm73102397">
    <w:name w:val="xfm_73102397"/>
    <w:qFormat/>
    <w:rPr/>
  </w:style>
  <w:style w:type="paragraph" w:styleId="Style19">
    <w:name w:val="Заголовок"/>
    <w:basedOn w:val="Normal"/>
    <w:next w:val="Normal"/>
    <w:qFormat/>
    <w:pPr>
      <w:keepNext w:val="true"/>
      <w:keepLines/>
      <w:spacing w:lineRule="auto" w:line="360" w:before="0" w:after="60"/>
      <w:jc w:val="both"/>
    </w:pPr>
    <w:rPr>
      <w:rFonts w:ascii="Calibri" w:hAnsi="Calibri" w:eastAsia="Calibri" w:cs="Calibri"/>
      <w:sz w:val="52"/>
      <w:szCs w:val="52"/>
      <w:lang w:val="ru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5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>
      <w:lang w:val="uk-UA"/>
    </w:rPr>
  </w:style>
  <w:style w:type="paragraph" w:styleId="Style26">
    <w:name w:val="Нормальний текст"/>
    <w:basedOn w:val="Normal"/>
    <w:qFormat/>
    <w:pPr>
      <w:spacing w:before="120" w:after="0"/>
      <w:ind w:firstLine="567"/>
    </w:pPr>
    <w:rPr>
      <w:lang w:val="uk-UA"/>
    </w:rPr>
  </w:style>
  <w:style w:type="paragraph" w:styleId="Style27">
    <w:name w:val="Шапка документу"/>
    <w:basedOn w:val="Normal"/>
    <w:qFormat/>
    <w:pPr>
      <w:keepNext w:val="true"/>
      <w:keepLines/>
      <w:spacing w:before="0" w:after="240"/>
      <w:ind w:left="4536" w:hanging="0"/>
      <w:jc w:val="center"/>
    </w:pPr>
    <w:rPr/>
  </w:style>
  <w:style w:type="paragraph" w:styleId="Style28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lang w:val="uk-UA"/>
    </w:rPr>
  </w:style>
  <w:style w:type="paragraph" w:styleId="32">
    <w:name w:val="Підпис3"/>
    <w:basedOn w:val="Normal"/>
    <w:qFormat/>
    <w:pPr>
      <w:keepLines/>
      <w:tabs>
        <w:tab w:val="clear" w:pos="720"/>
        <w:tab w:val="center" w:pos="2268" w:leader="none"/>
        <w:tab w:val="left" w:pos="6804" w:leader="none"/>
      </w:tabs>
      <w:spacing w:before="360" w:after="0"/>
    </w:pPr>
    <w:rPr>
      <w:b/>
      <w:vertAlign w:val="subscript"/>
    </w:rPr>
  </w:style>
  <w:style w:type="paragraph" w:styleId="Style29">
    <w:name w:val="Глава документу"/>
    <w:basedOn w:val="Normal"/>
    <w:next w:val="Normal"/>
    <w:qFormat/>
    <w:pPr>
      <w:keepNext w:val="true"/>
      <w:keepLines/>
      <w:spacing w:before="120" w:after="120"/>
      <w:jc w:val="center"/>
    </w:pPr>
    <w:rPr/>
  </w:style>
  <w:style w:type="paragraph" w:styleId="Style30">
    <w:name w:val="Герб"/>
    <w:basedOn w:val="Normal"/>
    <w:qFormat/>
    <w:pPr>
      <w:keepNext w:val="true"/>
      <w:keepLines/>
      <w:jc w:val="center"/>
    </w:pPr>
    <w:rPr>
      <w:sz w:val="144"/>
      <w:lang w:val="en-US"/>
    </w:rPr>
  </w:style>
  <w:style w:type="paragraph" w:styleId="Style31">
    <w:name w:val="Установа"/>
    <w:basedOn w:val="Normal"/>
    <w:qFormat/>
    <w:pPr>
      <w:keepNext w:val="true"/>
      <w:keepLines/>
      <w:spacing w:before="120" w:after="0"/>
      <w:jc w:val="center"/>
    </w:pPr>
    <w:rPr>
      <w:b/>
      <w:sz w:val="40"/>
    </w:rPr>
  </w:style>
  <w:style w:type="paragraph" w:styleId="Style32">
    <w:name w:val="Вид документа"/>
    <w:basedOn w:val="Style31"/>
    <w:next w:val="Normal"/>
    <w:qFormat/>
    <w:pPr>
      <w:spacing w:before="360" w:after="240"/>
    </w:pPr>
    <w:rPr>
      <w:spacing w:val="20"/>
      <w:sz w:val="26"/>
    </w:rPr>
  </w:style>
  <w:style w:type="paragraph" w:styleId="Style33">
    <w:name w:val="Час та місце"/>
    <w:basedOn w:val="Normal"/>
    <w:qFormat/>
    <w:pPr>
      <w:keepNext w:val="true"/>
      <w:keepLines/>
      <w:spacing w:before="120" w:after="240"/>
      <w:jc w:val="center"/>
    </w:pPr>
    <w:rPr/>
  </w:style>
  <w:style w:type="paragraph" w:styleId="Style34">
    <w:name w:val="Назва документа"/>
    <w:basedOn w:val="Normal"/>
    <w:next w:val="Style26"/>
    <w:qFormat/>
    <w:pPr>
      <w:keepNext w:val="true"/>
      <w:keepLines/>
      <w:spacing w:before="240" w:after="240"/>
      <w:jc w:val="center"/>
    </w:pPr>
    <w:rPr>
      <w:b/>
    </w:rPr>
  </w:style>
  <w:style w:type="paragraph" w:styleId="NormalText">
    <w:name w:val="Normal Text"/>
    <w:basedOn w:val="Normal"/>
    <w:qFormat/>
    <w:pPr>
      <w:ind w:firstLine="567"/>
      <w:jc w:val="both"/>
    </w:pPr>
    <w:rPr/>
  </w:style>
  <w:style w:type="paragraph" w:styleId="ShapkaDocumentu">
    <w:name w:val="Shapka Documentu"/>
    <w:basedOn w:val="NormalText"/>
    <w:qFormat/>
    <w:pPr>
      <w:keepNext w:val="true"/>
      <w:keepLines/>
      <w:spacing w:before="0" w:after="240"/>
      <w:ind w:left="3969" w:hanging="0"/>
      <w:jc w:val="center"/>
    </w:pPr>
    <w:rPr/>
  </w:style>
  <w:style w:type="paragraph" w:styleId="Style35">
    <w:name w:val="Текст выноски"/>
    <w:basedOn w:val="Normal"/>
    <w:qFormat/>
    <w:pPr/>
    <w:rPr>
      <w:rFonts w:ascii="Tahoma" w:hAnsi="Tahoma" w:eastAsia="Calibri" w:cs="Tahoma"/>
      <w:sz w:val="16"/>
      <w:szCs w:val="16"/>
      <w:lang w:val="uk-UA"/>
    </w:rPr>
  </w:style>
  <w:style w:type="paragraph" w:styleId="Style36">
    <w:name w:val="Без интервала"/>
    <w:qFormat/>
    <w:pPr>
      <w:widowControl/>
      <w:bidi w:val="0"/>
    </w:pPr>
    <w:rPr>
      <w:rFonts w:ascii="Times New Roman" w:hAnsi="Times New Roman" w:eastAsia="Calibri" w:cs="Times New Roman"/>
      <w:color w:val="auto"/>
      <w:sz w:val="28"/>
      <w:szCs w:val="24"/>
      <w:lang w:val="ru-RU" w:bidi="ar-SA" w:eastAsia="zh-CN"/>
    </w:rPr>
  </w:style>
  <w:style w:type="paragraph" w:styleId="Style37">
    <w:name w:val="Subtitle"/>
    <w:basedOn w:val="Normal"/>
    <w:next w:val="Normal"/>
    <w:qFormat/>
    <w:pPr>
      <w:keepNext w:val="true"/>
      <w:keepLines/>
      <w:spacing w:lineRule="auto" w:line="360" w:before="0" w:after="320"/>
      <w:jc w:val="both"/>
    </w:pPr>
    <w:rPr>
      <w:rFonts w:ascii="Arial" w:hAnsi="Arial" w:eastAsia="Arial" w:cs="Arial"/>
      <w:color w:val="666666"/>
      <w:sz w:val="30"/>
      <w:szCs w:val="30"/>
      <w:lang w:val="ru"/>
    </w:rPr>
  </w:style>
  <w:style w:type="paragraph" w:styleId="13">
    <w:name w:val="TOC 1"/>
    <w:basedOn w:val="Normal"/>
    <w:next w:val="Normal"/>
    <w:pPr>
      <w:tabs>
        <w:tab w:val="clear" w:pos="720"/>
        <w:tab w:val="right" w:pos="9019" w:leader="none"/>
      </w:tabs>
      <w:spacing w:lineRule="atLeast" w:line="20"/>
      <w:jc w:val="both"/>
    </w:pPr>
    <w:rPr>
      <w:rFonts w:ascii="Calibri" w:hAnsi="Calibri" w:eastAsia="Calibri" w:cs="Calibri"/>
      <w:sz w:val="24"/>
      <w:szCs w:val="24"/>
      <w:lang w:val="ru"/>
    </w:rPr>
  </w:style>
  <w:style w:type="paragraph" w:styleId="22">
    <w:name w:val="TOC 2"/>
    <w:basedOn w:val="Normal"/>
    <w:next w:val="Normal"/>
    <w:pPr>
      <w:spacing w:lineRule="auto" w:line="360" w:before="60" w:after="100"/>
      <w:ind w:left="240" w:hanging="0"/>
      <w:jc w:val="both"/>
    </w:pPr>
    <w:rPr>
      <w:rFonts w:ascii="Calibri" w:hAnsi="Calibri" w:eastAsia="Calibri" w:cs="Calibri"/>
      <w:sz w:val="24"/>
      <w:szCs w:val="24"/>
      <w:lang w:val="ru"/>
    </w:rPr>
  </w:style>
  <w:style w:type="paragraph" w:styleId="Style3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Style39">
    <w:name w:val="Обычный (веб)"/>
    <w:basedOn w:val="Normal"/>
    <w:qFormat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14">
    <w:name w:val="Підпис1"/>
    <w:basedOn w:val="Normal"/>
    <w:qFormat/>
    <w:pPr>
      <w:keepLines/>
      <w:tabs>
        <w:tab w:val="clear" w:pos="720"/>
        <w:tab w:val="center" w:pos="2268" w:leader="none"/>
        <w:tab w:val="left" w:pos="6804" w:leader="none"/>
      </w:tabs>
      <w:spacing w:before="360" w:after="0"/>
    </w:pPr>
    <w:rPr>
      <w:b/>
      <w:vertAlign w:val="subscript"/>
    </w:rPr>
  </w:style>
  <w:style w:type="paragraph" w:styleId="Style40">
    <w:name w:val="До листа"/>
    <w:basedOn w:val="Normal"/>
    <w:qFormat/>
    <w:pPr>
      <w:keepNext w:val="true"/>
      <w:keepLines/>
      <w:spacing w:before="240" w:after="240"/>
      <w:jc w:val="center"/>
    </w:pPr>
    <w:rPr/>
  </w:style>
  <w:style w:type="paragraph" w:styleId="Style41">
    <w:name w:val="Виконавець"/>
    <w:basedOn w:val="Normal"/>
    <w:qFormat/>
    <w:pPr>
      <w:spacing w:before="240" w:after="240"/>
      <w:ind w:left="1418" w:hanging="0"/>
      <w:jc w:val="both"/>
    </w:pPr>
    <w:rPr>
      <w:b/>
    </w:rPr>
  </w:style>
  <w:style w:type="paragraph" w:styleId="Style42">
    <w:name w:val="Контролер"/>
    <w:basedOn w:val="Normal"/>
    <w:qFormat/>
    <w:pPr>
      <w:spacing w:before="240" w:after="0"/>
    </w:pPr>
    <w:rPr>
      <w:lang w:val="en-US"/>
    </w:rPr>
  </w:style>
  <w:style w:type="paragraph" w:styleId="Style43">
    <w:name w:val="Текст доручення"/>
    <w:basedOn w:val="Style41"/>
    <w:qFormat/>
    <w:pPr>
      <w:spacing w:before="120" w:after="0"/>
      <w:ind w:left="0" w:firstLine="567"/>
    </w:pPr>
    <w:rPr>
      <w:b w:val="false"/>
    </w:rPr>
  </w:style>
  <w:style w:type="paragraph" w:styleId="Style44">
    <w:name w:val="До відома"/>
    <w:basedOn w:val="Style41"/>
    <w:qFormat/>
    <w:pPr>
      <w:spacing w:before="240" w:after="0"/>
    </w:pPr>
    <w:rPr>
      <w:caps/>
    </w:rPr>
  </w:style>
  <w:style w:type="paragraph" w:styleId="Style45">
    <w:name w:val="Назва розділу"/>
    <w:basedOn w:val="Style26"/>
    <w:qFormat/>
    <w:pPr>
      <w:keepNext w:val="true"/>
      <w:spacing w:before="240" w:after="0"/>
    </w:pPr>
    <w:rPr>
      <w:b/>
    </w:rPr>
  </w:style>
  <w:style w:type="paragraph" w:styleId="23">
    <w:name w:val="Підпис2"/>
    <w:basedOn w:val="Normal"/>
    <w:qFormat/>
    <w:pPr>
      <w:keepLines/>
      <w:tabs>
        <w:tab w:val="clear" w:pos="720"/>
        <w:tab w:val="center" w:pos="2268" w:leader="none"/>
        <w:tab w:val="left" w:pos="6804" w:leader="none"/>
      </w:tabs>
      <w:spacing w:before="360" w:after="0"/>
    </w:pPr>
    <w:rPr>
      <w:b/>
      <w:vertAlign w:val="subscript"/>
    </w:rPr>
  </w:style>
  <w:style w:type="paragraph" w:styleId="Style46">
    <w:name w:val="Текст примечания"/>
    <w:basedOn w:val="Normal"/>
    <w:qFormat/>
    <w:pPr/>
    <w:rPr>
      <w:rFonts w:ascii="Arial" w:hAnsi="Arial" w:eastAsia="Arial" w:cs="Arial"/>
      <w:sz w:val="20"/>
      <w:lang w:val="uk-UA"/>
    </w:rPr>
  </w:style>
  <w:style w:type="paragraph" w:styleId="Rvps2">
    <w:name w:val="rvps2"/>
    <w:basedOn w:val="Normal"/>
    <w:qFormat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Style47">
    <w:name w:val="Тема примечания"/>
    <w:basedOn w:val="Style46"/>
    <w:next w:val="Style46"/>
    <w:qFormat/>
    <w:pPr/>
    <w:rPr>
      <w:rFonts w:ascii="Antiqua;Arial" w:hAnsi="Antiqua;Arial" w:cs="Antiqua;Arial"/>
      <w:b/>
      <w:bCs/>
    </w:rPr>
  </w:style>
  <w:style w:type="paragraph" w:styleId="Style48">
    <w:name w:val="Рецензия"/>
    <w:qFormat/>
    <w:pPr>
      <w:widowControl/>
      <w:bidi w:val="0"/>
    </w:pPr>
    <w:rPr>
      <w:rFonts w:ascii="Antiqua;Arial" w:hAnsi="Antiqua;Arial" w:eastAsia="Times New Roman" w:cs="Antiqua;Arial"/>
      <w:color w:val="auto"/>
      <w:sz w:val="26"/>
      <w:szCs w:val="20"/>
      <w:lang w:val="uk-UA" w:bidi="ar-SA" w:eastAsia="zh-CN"/>
    </w:rPr>
  </w:style>
  <w:style w:type="paragraph" w:styleId="Rvps12">
    <w:name w:val="rvps12"/>
    <w:basedOn w:val="Normal"/>
    <w:qFormat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TableParagraph">
    <w:name w:val="Table Paragraph"/>
    <w:basedOn w:val="Normal"/>
    <w:qFormat/>
    <w:pPr>
      <w:widowControl w:val="false"/>
      <w:autoSpaceDE w:val="false"/>
      <w:spacing w:before="99" w:after="0"/>
      <w:ind w:left="154" w:hanging="0"/>
    </w:pPr>
    <w:rPr>
      <w:rFonts w:ascii="Times New Roman" w:hAnsi="Times New Roman" w:cs="Times New Roman"/>
      <w:sz w:val="22"/>
      <w:szCs w:val="22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Calibri" w:cs="Times New Roman"/>
      <w:color w:val="000000"/>
      <w:sz w:val="24"/>
      <w:szCs w:val="24"/>
      <w:lang w:val="uk-UA" w:bidi="ar-SA" w:eastAsia="zh-CN"/>
    </w:rPr>
  </w:style>
  <w:style w:type="paragraph" w:styleId="Style49">
    <w:name w:val="Содержимое таблицы"/>
    <w:basedOn w:val="Normal"/>
    <w:qFormat/>
    <w:pPr>
      <w:widowControl w:val="false"/>
      <w:suppressLineNumbers/>
    </w:pPr>
    <w:rPr/>
  </w:style>
  <w:style w:type="paragraph" w:styleId="Style50">
    <w:name w:val="Заголовок таблицы"/>
    <w:basedOn w:val="Style49"/>
    <w:qFormat/>
    <w:pPr>
      <w:suppressLineNumbers/>
      <w:jc w:val="center"/>
    </w:pPr>
    <w:rPr>
      <w:b/>
      <w:bCs/>
    </w:rPr>
  </w:style>
  <w:style w:type="paragraph" w:styleId="Style51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microsoft.com/office/2006/relationships/vbaProject" Target="vbaProject.bin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20</TotalTime>
  <Application>LibreOffice/7.3.7.2$Linux_X86_64 LibreOffice_project/30$Build-2</Application>
  <AppVersion>15.0000</AppVersion>
  <Pages>11</Pages>
  <Words>2163</Words>
  <Characters>16089</Characters>
  <CharactersWithSpaces>18724</CharactersWithSpaces>
  <Paragraphs>256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2025-11-27T15:41:32Z</dcterms:created>
  <dc:creator/>
  <dc:description/>
  <cp:keywords/>
  <dc:language>uk-UA</dc:language>
  <cp:lastModifiedBy>Сенько</cp:lastModifiedBy>
  <cp:lastPrinted>2024-12-19T14:11:00Z</cp:lastPrinted>
  <dcterms:modified xsi:type="dcterms:W3CDTF">2024-12-20T10:34:00Z</dcterms:modified>
  <cp:revision>6</cp:revision>
  <dc:subject/>
  <dc:title>£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epHandle">
    <vt:lpwstr>StepHandle</vt:lpwstr>
  </property>
</Properties>
</file>